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FF" w:rsidRPr="00976192" w:rsidRDefault="00AC4CFF" w:rsidP="00AC4CFF">
      <w:pPr>
        <w:shd w:val="clear" w:color="auto" w:fill="FFFFFF"/>
        <w:spacing w:line="317" w:lineRule="exact"/>
        <w:ind w:right="650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Совместное информационное письмо Минэнерго России и ФСТ России</w:t>
      </w:r>
      <w:r>
        <w:rPr>
          <w:rFonts w:eastAsia="Times New Roman"/>
          <w:spacing w:val="-1"/>
          <w:sz w:val="28"/>
          <w:szCs w:val="28"/>
        </w:rPr>
        <w:br/>
        <w:t xml:space="preserve">21.11.2014 г. № ВК </w:t>
      </w:r>
      <w:r w:rsidR="00976192" w:rsidRPr="00976192">
        <w:rPr>
          <w:rFonts w:eastAsia="Times New Roman"/>
          <w:spacing w:val="-1"/>
          <w:sz w:val="28"/>
          <w:szCs w:val="28"/>
        </w:rPr>
        <w:t>13109/09</w:t>
      </w:r>
    </w:p>
    <w:p w:rsidR="00AC4CFF" w:rsidRDefault="00AC4CFF" w:rsidP="00AC4CF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000000" w:rsidRDefault="00976192">
      <w:pPr>
        <w:shd w:val="clear" w:color="auto" w:fill="FFFFFF"/>
        <w:spacing w:line="317" w:lineRule="exact"/>
        <w:ind w:left="3883"/>
        <w:jc w:val="center"/>
      </w:pPr>
      <w:r>
        <w:rPr>
          <w:rFonts w:eastAsia="Times New Roman"/>
          <w:spacing w:val="-1"/>
          <w:sz w:val="28"/>
          <w:szCs w:val="28"/>
        </w:rPr>
        <w:t>Органам исполнительной власти</w:t>
      </w:r>
      <w:r w:rsidR="00AC4CFF">
        <w:br/>
      </w:r>
      <w:r>
        <w:rPr>
          <w:rFonts w:eastAsia="Times New Roman"/>
          <w:spacing w:val="-1"/>
          <w:sz w:val="28"/>
          <w:szCs w:val="28"/>
        </w:rPr>
        <w:t>субъектов Российской Федерации в</w:t>
      </w:r>
      <w:r w:rsidR="00AC4CFF">
        <w:br/>
      </w:r>
      <w:r>
        <w:rPr>
          <w:rFonts w:eastAsia="Times New Roman"/>
          <w:spacing w:val="-3"/>
          <w:sz w:val="28"/>
          <w:szCs w:val="28"/>
        </w:rPr>
        <w:t>области государственного регулирования</w:t>
      </w:r>
      <w:r w:rsidR="00AC4CFF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тарифов</w:t>
      </w:r>
    </w:p>
    <w:p w:rsidR="00000000" w:rsidRDefault="00976192">
      <w:pPr>
        <w:shd w:val="clear" w:color="auto" w:fill="FFFFFF"/>
        <w:spacing w:before="3091"/>
        <w:ind w:right="34"/>
        <w:jc w:val="center"/>
      </w:pPr>
      <w:r>
        <w:rPr>
          <w:rFonts w:eastAsia="Times New Roman"/>
          <w:spacing w:val="-3"/>
          <w:sz w:val="28"/>
          <w:szCs w:val="28"/>
        </w:rPr>
        <w:t>Уважаемые коллеги!</w:t>
      </w:r>
    </w:p>
    <w:p w:rsidR="00000000" w:rsidRDefault="00976192">
      <w:pPr>
        <w:shd w:val="clear" w:color="auto" w:fill="FFFFFF"/>
        <w:spacing w:before="211" w:line="44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В соответствии с пунктом 5 постановл</w:t>
      </w:r>
      <w:bookmarkStart w:id="0" w:name="_GoBack"/>
      <w:bookmarkEnd w:id="0"/>
      <w:r>
        <w:rPr>
          <w:rFonts w:eastAsia="Times New Roman"/>
          <w:sz w:val="28"/>
          <w:szCs w:val="28"/>
        </w:rPr>
        <w:t>ения Правительства Российской Федерации от 31 июля 2014 г. № 750 органам исполнительной вла</w:t>
      </w:r>
      <w:r>
        <w:rPr>
          <w:rFonts w:eastAsia="Times New Roman"/>
          <w:sz w:val="28"/>
          <w:szCs w:val="28"/>
        </w:rPr>
        <w:t xml:space="preserve">сти субъектов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 в области государственного регулирования тарифов (далее </w:t>
      </w:r>
      <w:proofErr w:type="gramStart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егиональные регулирующие органы) поручено до 1 декабря 2014 г. принять решения о пересмотре с 1 января 2015 г. долгосрочного параметра регулирования -</w:t>
      </w:r>
      <w:r>
        <w:rPr>
          <w:rFonts w:eastAsia="Times New Roman"/>
          <w:spacing w:val="-1"/>
          <w:sz w:val="28"/>
          <w:szCs w:val="28"/>
        </w:rPr>
        <w:t>величины техн</w:t>
      </w:r>
      <w:r>
        <w:rPr>
          <w:rFonts w:eastAsia="Times New Roman"/>
          <w:spacing w:val="-1"/>
          <w:sz w:val="28"/>
          <w:szCs w:val="28"/>
        </w:rPr>
        <w:t xml:space="preserve">ологического расхода (потерь) электрической энергии, в том числе на </w:t>
      </w:r>
      <w:r>
        <w:rPr>
          <w:rFonts w:eastAsia="Times New Roman"/>
          <w:sz w:val="28"/>
          <w:szCs w:val="28"/>
        </w:rPr>
        <w:t>основании утвержденных Минэнерго России нормативов потерь электрической энергии при ее передаче по электрическим сетям территориальных сетевых организаций (далее - нормативы потерь).</w:t>
      </w:r>
    </w:p>
    <w:p w:rsidR="00000000" w:rsidRDefault="00976192">
      <w:pPr>
        <w:shd w:val="clear" w:color="auto" w:fill="FFFFFF"/>
        <w:spacing w:line="446" w:lineRule="exact"/>
        <w:ind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При э</w:t>
      </w:r>
      <w:r>
        <w:rPr>
          <w:rFonts w:eastAsia="Times New Roman"/>
          <w:spacing w:val="-1"/>
          <w:sz w:val="28"/>
          <w:szCs w:val="28"/>
        </w:rPr>
        <w:t xml:space="preserve">том в соответствии с пунктами 33 и 38 Основ ценообразования в области </w:t>
      </w:r>
      <w:r>
        <w:rPr>
          <w:rFonts w:eastAsia="Times New Roman"/>
          <w:sz w:val="28"/>
          <w:szCs w:val="28"/>
        </w:rPr>
        <w:t xml:space="preserve">регулируемых цен (тарифов) в электроэнергетике, утвержденных постановлением </w:t>
      </w:r>
      <w:r>
        <w:rPr>
          <w:rFonts w:eastAsia="Times New Roman"/>
          <w:spacing w:val="-1"/>
          <w:sz w:val="28"/>
          <w:szCs w:val="28"/>
        </w:rPr>
        <w:t xml:space="preserve">Правительства Российской Федерации от 29 декабря 2011 г. № 1178, долгосрочным </w:t>
      </w:r>
      <w:r>
        <w:rPr>
          <w:rFonts w:eastAsia="Times New Roman"/>
          <w:sz w:val="28"/>
          <w:szCs w:val="28"/>
        </w:rPr>
        <w:t>параметром регулирования являетс</w:t>
      </w:r>
      <w:r>
        <w:rPr>
          <w:rFonts w:eastAsia="Times New Roman"/>
          <w:sz w:val="28"/>
          <w:szCs w:val="28"/>
        </w:rPr>
        <w:t>я:</w:t>
      </w:r>
    </w:p>
    <w:p w:rsidR="00000000" w:rsidRDefault="00976192" w:rsidP="00C706D6">
      <w:pPr>
        <w:shd w:val="clear" w:color="auto" w:fill="FFFFFF"/>
        <w:spacing w:line="44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величина технологического расхода (потерь) электрической энергии, для территориальных сетевых организаций, тарифы на услуги по передаче электрической энергии которых, устанавливаются с применением метода долгосрочной индексации необходимой валовой выруч</w:t>
      </w:r>
      <w:r>
        <w:rPr>
          <w:rFonts w:eastAsia="Times New Roman"/>
          <w:sz w:val="28"/>
          <w:szCs w:val="28"/>
        </w:rPr>
        <w:t>ки;</w:t>
      </w:r>
    </w:p>
    <w:p w:rsidR="00000000" w:rsidRDefault="00976192">
      <w:pPr>
        <w:shd w:val="clear" w:color="auto" w:fill="FFFFFF"/>
        <w:spacing w:line="442" w:lineRule="exact"/>
        <w:ind w:left="14" w:firstLine="710"/>
        <w:jc w:val="both"/>
      </w:pPr>
      <w:r>
        <w:rPr>
          <w:rFonts w:eastAsia="Times New Roman"/>
          <w:sz w:val="28"/>
          <w:szCs w:val="28"/>
        </w:rPr>
        <w:t xml:space="preserve">норматив технологического расхода (потерь), утверждаемый Минэнерго России, для территориальных сетевых организаций, тарифы на услуги по передаче электрической энергии которых, устанавливаются с применением метода </w:t>
      </w:r>
      <w:r>
        <w:rPr>
          <w:rFonts w:eastAsia="Times New Roman"/>
          <w:sz w:val="28"/>
          <w:szCs w:val="28"/>
        </w:rPr>
        <w:lastRenderedPageBreak/>
        <w:t>доходности ин</w:t>
      </w:r>
      <w:r>
        <w:rPr>
          <w:rFonts w:eastAsia="Times New Roman"/>
          <w:sz w:val="28"/>
          <w:szCs w:val="28"/>
        </w:rPr>
        <w:t>вестированного капитала;</w:t>
      </w:r>
    </w:p>
    <w:p w:rsidR="00000000" w:rsidRDefault="00976192">
      <w:pPr>
        <w:shd w:val="clear" w:color="auto" w:fill="FFFFFF"/>
        <w:spacing w:line="442" w:lineRule="exact"/>
        <w:ind w:left="14" w:right="10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начиная с 2014 года для первого и (или) последующих долгосрочных периодов </w:t>
      </w:r>
      <w:r>
        <w:rPr>
          <w:rFonts w:eastAsia="Times New Roman"/>
          <w:sz w:val="28"/>
          <w:szCs w:val="28"/>
        </w:rPr>
        <w:t xml:space="preserve">регулирования - уровень потерь электрической энергии, для территориальных сетевых организаций, тарифы на </w:t>
      </w:r>
      <w:proofErr w:type="gramStart"/>
      <w:r>
        <w:rPr>
          <w:rFonts w:eastAsia="Times New Roman"/>
          <w:sz w:val="28"/>
          <w:szCs w:val="28"/>
        </w:rPr>
        <w:t>услуги</w:t>
      </w:r>
      <w:proofErr w:type="gramEnd"/>
      <w:r>
        <w:rPr>
          <w:rFonts w:eastAsia="Times New Roman"/>
          <w:sz w:val="28"/>
          <w:szCs w:val="28"/>
        </w:rPr>
        <w:t xml:space="preserve"> по передаче электрической энергии которых уст</w:t>
      </w:r>
      <w:r>
        <w:rPr>
          <w:rFonts w:eastAsia="Times New Roman"/>
          <w:sz w:val="28"/>
          <w:szCs w:val="28"/>
        </w:rPr>
        <w:t>анавливаются с применением метода доходности инвестированного капитала и с применением метода долгосрочной индексации необходимой валовой выручки.</w:t>
      </w:r>
    </w:p>
    <w:p w:rsidR="00000000" w:rsidRDefault="00976192">
      <w:pPr>
        <w:shd w:val="clear" w:color="auto" w:fill="FFFFFF"/>
        <w:tabs>
          <w:tab w:val="left" w:pos="1104"/>
        </w:tabs>
        <w:spacing w:line="442" w:lineRule="exact"/>
        <w:ind w:left="5" w:right="14" w:firstLine="739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Таким образом, региональные регулирующие органы должны принять</w:t>
      </w:r>
      <w:r>
        <w:rPr>
          <w:rFonts w:eastAsia="Times New Roman"/>
          <w:sz w:val="28"/>
          <w:szCs w:val="28"/>
        </w:rPr>
        <w:br/>
        <w:t>решения о пересмотре с 1 января 2015 г. дол</w:t>
      </w:r>
      <w:r>
        <w:rPr>
          <w:rFonts w:eastAsia="Times New Roman"/>
          <w:sz w:val="28"/>
          <w:szCs w:val="28"/>
        </w:rPr>
        <w:t>госрочного параметра регулирования 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величины технологического расхода (потерь) электрической энергии, только для тех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территориальных сетевых организаций, тарифы на </w:t>
      </w:r>
      <w:proofErr w:type="gramStart"/>
      <w:r>
        <w:rPr>
          <w:rFonts w:eastAsia="Times New Roman"/>
          <w:sz w:val="28"/>
          <w:szCs w:val="28"/>
        </w:rPr>
        <w:t>услуги</w:t>
      </w:r>
      <w:proofErr w:type="gramEnd"/>
      <w:r>
        <w:rPr>
          <w:rFonts w:eastAsia="Times New Roman"/>
          <w:sz w:val="28"/>
          <w:szCs w:val="28"/>
        </w:rPr>
        <w:t xml:space="preserve"> по передаче</w:t>
      </w:r>
      <w:r>
        <w:rPr>
          <w:rFonts w:eastAsia="Times New Roman"/>
          <w:sz w:val="28"/>
          <w:szCs w:val="28"/>
        </w:rPr>
        <w:br/>
        <w:t>электрической энергии которых устанавливаются с применением метода</w:t>
      </w:r>
      <w:r>
        <w:rPr>
          <w:rFonts w:eastAsia="Times New Roman"/>
          <w:sz w:val="28"/>
          <w:szCs w:val="28"/>
        </w:rPr>
        <w:br/>
        <w:t>долго</w:t>
      </w:r>
      <w:r>
        <w:rPr>
          <w:rFonts w:eastAsia="Times New Roman"/>
          <w:sz w:val="28"/>
          <w:szCs w:val="28"/>
        </w:rPr>
        <w:t>срочной индексации необходимой валовой выручки.</w:t>
      </w:r>
    </w:p>
    <w:p w:rsidR="00000000" w:rsidRDefault="00976192">
      <w:pPr>
        <w:shd w:val="clear" w:color="auto" w:fill="FFFFFF"/>
        <w:spacing w:line="442" w:lineRule="exact"/>
        <w:ind w:right="19" w:firstLine="710"/>
        <w:jc w:val="both"/>
      </w:pPr>
      <w:proofErr w:type="gramStart"/>
      <w:r>
        <w:rPr>
          <w:rFonts w:eastAsia="Times New Roman"/>
          <w:sz w:val="28"/>
          <w:szCs w:val="28"/>
        </w:rPr>
        <w:t>В указанном случае величина технологического расхода (потерь) электрической энергии определяется региональным регулирующим органом также как и в предыдущие периоды на основании норматива технологических потер</w:t>
      </w:r>
      <w:r>
        <w:rPr>
          <w:rFonts w:eastAsia="Times New Roman"/>
          <w:sz w:val="28"/>
          <w:szCs w:val="28"/>
        </w:rPr>
        <w:t>ь электрической энергии при ее передаче по электрическим сетям (далее - норматив технологических потерь) на 2015 год, утвержденного Минэнерго России для соответствующей территориальной сетевой организации, а при его отсутствии исходя из динамики фактически</w:t>
      </w:r>
      <w:r>
        <w:rPr>
          <w:rFonts w:eastAsia="Times New Roman"/>
          <w:sz w:val="28"/>
          <w:szCs w:val="28"/>
        </w:rPr>
        <w:t xml:space="preserve">х потерь электрической энергии, нормативов </w:t>
      </w:r>
      <w:r>
        <w:rPr>
          <w:rFonts w:eastAsia="Times New Roman"/>
          <w:spacing w:val="-2"/>
          <w:sz w:val="28"/>
          <w:szCs w:val="28"/>
        </w:rPr>
        <w:t>технологических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потерь, утвержденных Минэнерго России на предыдущие периоды </w:t>
      </w:r>
      <w:r>
        <w:rPr>
          <w:rFonts w:eastAsia="Times New Roman"/>
          <w:sz w:val="28"/>
          <w:szCs w:val="28"/>
        </w:rPr>
        <w:t xml:space="preserve">регулирования, и величин, учтенных в сводных прогнозных балансах производства и поставок электрической энергии (мощности) предшествующих </w:t>
      </w:r>
      <w:r>
        <w:rPr>
          <w:rFonts w:eastAsia="Times New Roman"/>
          <w:sz w:val="28"/>
          <w:szCs w:val="28"/>
        </w:rPr>
        <w:t>периодов регулирования, исходя из темпов их снижения,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организации.</w:t>
      </w:r>
    </w:p>
    <w:p w:rsidR="00000000" w:rsidRDefault="00976192" w:rsidP="00C706D6">
      <w:pPr>
        <w:shd w:val="clear" w:color="auto" w:fill="FFFFFF"/>
        <w:tabs>
          <w:tab w:val="left" w:pos="1008"/>
        </w:tabs>
        <w:spacing w:line="442" w:lineRule="exact"/>
        <w:ind w:right="24" w:firstLine="710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Для территориальных сетевых организаций, тарифы на </w:t>
      </w:r>
      <w:r>
        <w:rPr>
          <w:rFonts w:eastAsia="Times New Roman"/>
          <w:spacing w:val="-1"/>
          <w:sz w:val="28"/>
          <w:szCs w:val="28"/>
        </w:rPr>
        <w:t>услуги по передаче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электрической энергии которых, устанавливаются с применением метода</w:t>
      </w:r>
      <w:r w:rsidR="00C706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доходности инвестированного капитала, долгосрочный параметр регулирования -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норматив технологического расхода (потерь), утверждаемый Минэнерго Р</w:t>
      </w:r>
      <w:r>
        <w:rPr>
          <w:rFonts w:eastAsia="Times New Roman"/>
          <w:sz w:val="28"/>
          <w:szCs w:val="28"/>
        </w:rPr>
        <w:t>оссии, не пересматривается с 1 января 2015 г.</w:t>
      </w:r>
    </w:p>
    <w:p w:rsidR="00000000" w:rsidRDefault="00976192">
      <w:pPr>
        <w:shd w:val="clear" w:color="auto" w:fill="FFFFFF"/>
        <w:spacing w:before="19" w:line="442" w:lineRule="exact"/>
        <w:ind w:firstLine="720"/>
        <w:jc w:val="both"/>
      </w:pPr>
      <w:r>
        <w:rPr>
          <w:spacing w:val="-1"/>
          <w:sz w:val="28"/>
          <w:szCs w:val="28"/>
        </w:rPr>
        <w:t xml:space="preserve">3.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В отношении территориальных сетевых организаций, для которых 2015 год </w:t>
      </w:r>
      <w:r>
        <w:rPr>
          <w:rFonts w:eastAsia="Times New Roman"/>
          <w:sz w:val="28"/>
          <w:szCs w:val="28"/>
        </w:rPr>
        <w:t>является первым годом первого или очередного долгосрочного периода регулирования, как при использовании метода долгосрочной индексации не</w:t>
      </w:r>
      <w:r>
        <w:rPr>
          <w:rFonts w:eastAsia="Times New Roman"/>
          <w:sz w:val="28"/>
          <w:szCs w:val="28"/>
        </w:rPr>
        <w:t xml:space="preserve">обходимой валовой выручки, так и при использовании метода доходности </w:t>
      </w:r>
      <w:r>
        <w:rPr>
          <w:rFonts w:eastAsia="Times New Roman"/>
          <w:sz w:val="28"/>
          <w:szCs w:val="28"/>
        </w:rPr>
        <w:lastRenderedPageBreak/>
        <w:t xml:space="preserve">инвестированного капитала, долгосрочным параметром регулирования является уровень потерь электрической энергии, определяемый региональным регулирующим органом перед началом долгосрочного </w:t>
      </w:r>
      <w:r>
        <w:rPr>
          <w:rFonts w:eastAsia="Times New Roman"/>
          <w:sz w:val="28"/>
          <w:szCs w:val="28"/>
        </w:rPr>
        <w:t>периода регулирования и устанавливаемый на первый год долгосрочного периода регулирования</w:t>
      </w:r>
      <w:proofErr w:type="gramEnd"/>
      <w:r>
        <w:rPr>
          <w:rFonts w:eastAsia="Times New Roman"/>
          <w:sz w:val="28"/>
          <w:szCs w:val="28"/>
        </w:rPr>
        <w:t xml:space="preserve"> как минимальное значение из норматива потерь соответствующей группы территориальных сетевых организаций и уровня напряжения, утвержденного приказом Минэнерго России о</w:t>
      </w:r>
      <w:r>
        <w:rPr>
          <w:rFonts w:eastAsia="Times New Roman"/>
          <w:sz w:val="28"/>
          <w:szCs w:val="28"/>
        </w:rPr>
        <w:t xml:space="preserve">т 30 сентября 2014 г. № 674 (зарегистрирован в Минюсте России 22 октября 2014 г. № 34400), и уровня фактических потерь </w:t>
      </w:r>
      <w:r>
        <w:rPr>
          <w:rFonts w:eastAsia="Times New Roman"/>
          <w:spacing w:val="-1"/>
          <w:sz w:val="28"/>
          <w:szCs w:val="28"/>
        </w:rPr>
        <w:t xml:space="preserve">электрической энергии за последний истекший год на соответствующем уровне </w:t>
      </w:r>
      <w:r>
        <w:rPr>
          <w:rFonts w:eastAsia="Times New Roman"/>
          <w:sz w:val="28"/>
          <w:szCs w:val="28"/>
        </w:rPr>
        <w:t>напряжения территориальной сетевой организации. При этом указан</w:t>
      </w:r>
      <w:r>
        <w:rPr>
          <w:rFonts w:eastAsia="Times New Roman"/>
          <w:sz w:val="28"/>
          <w:szCs w:val="28"/>
        </w:rPr>
        <w:t xml:space="preserve">ные группы </w:t>
      </w:r>
      <w:r>
        <w:rPr>
          <w:rFonts w:eastAsia="Times New Roman"/>
          <w:spacing w:val="-1"/>
          <w:sz w:val="28"/>
          <w:szCs w:val="28"/>
        </w:rPr>
        <w:t xml:space="preserve">территориальных сетевых организаций для конкретной организации определяются в </w:t>
      </w:r>
      <w:r>
        <w:rPr>
          <w:rFonts w:eastAsia="Times New Roman"/>
          <w:sz w:val="28"/>
          <w:szCs w:val="28"/>
        </w:rPr>
        <w:t xml:space="preserve">зависимости от ее отпуска электрической энергии в электрическую сеть, протяженности линий электропередачи в </w:t>
      </w:r>
      <w:proofErr w:type="spellStart"/>
      <w:r>
        <w:rPr>
          <w:rFonts w:eastAsia="Times New Roman"/>
          <w:sz w:val="28"/>
          <w:szCs w:val="28"/>
        </w:rPr>
        <w:t>одноцепном</w:t>
      </w:r>
      <w:proofErr w:type="spellEnd"/>
      <w:r>
        <w:rPr>
          <w:rFonts w:eastAsia="Times New Roman"/>
          <w:sz w:val="28"/>
          <w:szCs w:val="28"/>
        </w:rPr>
        <w:t xml:space="preserve"> выражении, соотношение протяженности воздушных (</w:t>
      </w:r>
      <w:proofErr w:type="gramStart"/>
      <w:r>
        <w:rPr>
          <w:rFonts w:eastAsia="Times New Roman"/>
          <w:sz w:val="28"/>
          <w:szCs w:val="28"/>
        </w:rPr>
        <w:t>ВЛ</w:t>
      </w:r>
      <w:proofErr w:type="gramEnd"/>
      <w:r>
        <w:rPr>
          <w:rFonts w:eastAsia="Times New Roman"/>
          <w:sz w:val="28"/>
          <w:szCs w:val="28"/>
        </w:rPr>
        <w:t xml:space="preserve">) и кабельных (КЛ) линий электропередачи в </w:t>
      </w:r>
      <w:proofErr w:type="spellStart"/>
      <w:r>
        <w:rPr>
          <w:rFonts w:eastAsia="Times New Roman"/>
          <w:sz w:val="28"/>
          <w:szCs w:val="28"/>
        </w:rPr>
        <w:t>одноцепном</w:t>
      </w:r>
      <w:proofErr w:type="spellEnd"/>
      <w:r>
        <w:rPr>
          <w:rFonts w:eastAsia="Times New Roman"/>
          <w:sz w:val="28"/>
          <w:szCs w:val="28"/>
        </w:rPr>
        <w:t xml:space="preserve"> выражении (ВЛ/(ВЛ+КЛ)100%) за базовый год. В случае если </w:t>
      </w:r>
      <w:r>
        <w:rPr>
          <w:rFonts w:eastAsia="Times New Roman"/>
          <w:spacing w:val="-2"/>
          <w:sz w:val="28"/>
          <w:szCs w:val="28"/>
        </w:rPr>
        <w:t xml:space="preserve">протяженность линий электропередачи в </w:t>
      </w:r>
      <w:proofErr w:type="spellStart"/>
      <w:r>
        <w:rPr>
          <w:rFonts w:eastAsia="Times New Roman"/>
          <w:spacing w:val="-2"/>
          <w:sz w:val="28"/>
          <w:szCs w:val="28"/>
        </w:rPr>
        <w:t>одноцепном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выражении равна нулю, то для </w:t>
      </w:r>
      <w:r>
        <w:rPr>
          <w:rFonts w:eastAsia="Times New Roman"/>
          <w:sz w:val="28"/>
          <w:szCs w:val="28"/>
        </w:rPr>
        <w:t>ВН применяется норматив потерь группы «10 000 и более», для СН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«1 000 и более», для СН2 - «более 1 000, менее 30».</w:t>
      </w:r>
    </w:p>
    <w:p w:rsidR="00000000" w:rsidRDefault="00976192">
      <w:pPr>
        <w:shd w:val="clear" w:color="auto" w:fill="FFFFFF"/>
        <w:spacing w:line="442" w:lineRule="exact"/>
        <w:ind w:left="5" w:right="14" w:firstLine="701"/>
        <w:jc w:val="both"/>
      </w:pPr>
      <w:r>
        <w:rPr>
          <w:rFonts w:eastAsia="Times New Roman"/>
          <w:sz w:val="28"/>
          <w:szCs w:val="28"/>
        </w:rPr>
        <w:t>На каждый последующий год долгосрочного периода регулирования уровень потерь электрической энергии устанавливается региональным регулирующим органом равным уровню потерь, установленному на первый год дол</w:t>
      </w:r>
      <w:r>
        <w:rPr>
          <w:rFonts w:eastAsia="Times New Roman"/>
          <w:sz w:val="28"/>
          <w:szCs w:val="28"/>
        </w:rPr>
        <w:t>госрочного периода регулирования.</w:t>
      </w:r>
    </w:p>
    <w:p w:rsidR="00000000" w:rsidRDefault="00976192" w:rsidP="00C706D6">
      <w:pPr>
        <w:shd w:val="clear" w:color="auto" w:fill="FFFFFF"/>
        <w:spacing w:line="442" w:lineRule="exact"/>
        <w:ind w:right="5" w:firstLine="701"/>
        <w:jc w:val="both"/>
      </w:pPr>
      <w:proofErr w:type="gramStart"/>
      <w:r>
        <w:rPr>
          <w:rFonts w:eastAsia="Times New Roman"/>
          <w:sz w:val="28"/>
          <w:szCs w:val="28"/>
        </w:rPr>
        <w:t xml:space="preserve">При этом величина потерь электрической энергии, определяется </w:t>
      </w:r>
      <w:r>
        <w:rPr>
          <w:rFonts w:eastAsia="Times New Roman"/>
          <w:spacing w:val="-1"/>
          <w:sz w:val="28"/>
          <w:szCs w:val="28"/>
        </w:rPr>
        <w:t xml:space="preserve">региональным регулирующим органом на каждый год долгосрочного периода </w:t>
      </w:r>
      <w:r>
        <w:rPr>
          <w:rFonts w:eastAsia="Times New Roman"/>
          <w:sz w:val="28"/>
          <w:szCs w:val="28"/>
        </w:rPr>
        <w:t>регулирования территориальной сетевой организации исходя из уровня потерь электрической эне</w:t>
      </w:r>
      <w:r>
        <w:rPr>
          <w:rFonts w:eastAsia="Times New Roman"/>
          <w:sz w:val="28"/>
          <w:szCs w:val="28"/>
        </w:rPr>
        <w:t xml:space="preserve">ргии, определенного региональным регулирующим органом, и </w:t>
      </w:r>
      <w:r>
        <w:rPr>
          <w:rFonts w:eastAsia="Times New Roman"/>
          <w:spacing w:val="-1"/>
          <w:sz w:val="28"/>
          <w:szCs w:val="28"/>
        </w:rPr>
        <w:t>величины   планового   отпуска   электрической   энергии   в   сеть,   рассчитанной   в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соответствии с методическими указаниями по расчету регулируемых тарифов и цен </w:t>
      </w:r>
      <w:r>
        <w:rPr>
          <w:rFonts w:eastAsia="Times New Roman"/>
          <w:spacing w:val="-1"/>
          <w:sz w:val="28"/>
          <w:szCs w:val="28"/>
        </w:rPr>
        <w:t>на элект</w:t>
      </w:r>
      <w:r>
        <w:rPr>
          <w:rFonts w:eastAsia="Times New Roman"/>
          <w:spacing w:val="-1"/>
          <w:sz w:val="28"/>
          <w:szCs w:val="28"/>
        </w:rPr>
        <w:t>рическую (тепловую) энергию на розничном (потребительском) рынке.</w:t>
      </w:r>
      <w:proofErr w:type="gramEnd"/>
    </w:p>
    <w:p w:rsidR="00000000" w:rsidRDefault="00976192">
      <w:pPr>
        <w:shd w:val="clear" w:color="auto" w:fill="FFFFFF"/>
        <w:spacing w:line="446" w:lineRule="exact"/>
        <w:ind w:left="29" w:right="5" w:firstLine="701"/>
        <w:jc w:val="both"/>
      </w:pPr>
      <w:r>
        <w:rPr>
          <w:rFonts w:eastAsia="Times New Roman"/>
          <w:sz w:val="28"/>
          <w:szCs w:val="28"/>
        </w:rPr>
        <w:t xml:space="preserve">В целях уточнения порядка определения региональными регулирующими </w:t>
      </w:r>
      <w:r>
        <w:rPr>
          <w:rFonts w:eastAsia="Times New Roman"/>
          <w:spacing w:val="-1"/>
          <w:sz w:val="28"/>
          <w:szCs w:val="28"/>
        </w:rPr>
        <w:t xml:space="preserve">органами величины потерь электрической энергии и уровня потерь электрической </w:t>
      </w:r>
      <w:r>
        <w:rPr>
          <w:rFonts w:eastAsia="Times New Roman"/>
          <w:sz w:val="28"/>
          <w:szCs w:val="28"/>
        </w:rPr>
        <w:t>энергии территориальных сетевых организаций, ус</w:t>
      </w:r>
      <w:r>
        <w:rPr>
          <w:rFonts w:eastAsia="Times New Roman"/>
          <w:sz w:val="28"/>
          <w:szCs w:val="28"/>
        </w:rPr>
        <w:t>тановленного Основами ценообразования в области регулируемых цен (тарифов) в электроэнергетике, направляем для заполнения соответствующую расчетную форму в формате табличного процессора согласно приложению.</w:t>
      </w:r>
    </w:p>
    <w:p w:rsidR="00000000" w:rsidRDefault="00976192">
      <w:pPr>
        <w:shd w:val="clear" w:color="auto" w:fill="FFFFFF"/>
        <w:spacing w:before="5" w:line="446" w:lineRule="exact"/>
        <w:ind w:right="5" w:firstLine="706"/>
        <w:jc w:val="both"/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rFonts w:eastAsia="Times New Roman"/>
          <w:sz w:val="28"/>
          <w:szCs w:val="28"/>
        </w:rPr>
        <w:t>В случае если территориальная сетевая организа</w:t>
      </w:r>
      <w:r>
        <w:rPr>
          <w:rFonts w:eastAsia="Times New Roman"/>
          <w:sz w:val="28"/>
          <w:szCs w:val="28"/>
        </w:rPr>
        <w:t xml:space="preserve">ция впервые оказывает услуги по передаче электрической энергии в текущем периоде (т.е. отсутствует последний истекший год), то вместо уровня фактических потерь электрической </w:t>
      </w:r>
      <w:r>
        <w:rPr>
          <w:rFonts w:eastAsia="Times New Roman"/>
          <w:spacing w:val="-1"/>
          <w:sz w:val="28"/>
          <w:szCs w:val="28"/>
        </w:rPr>
        <w:t xml:space="preserve">энергии за последний истекший год на соответствующем уровне напряжения </w:t>
      </w:r>
      <w:r>
        <w:rPr>
          <w:rFonts w:eastAsia="Times New Roman"/>
          <w:sz w:val="28"/>
          <w:szCs w:val="28"/>
        </w:rPr>
        <w:t>территориал</w:t>
      </w:r>
      <w:r>
        <w:rPr>
          <w:rFonts w:eastAsia="Times New Roman"/>
          <w:sz w:val="28"/>
          <w:szCs w:val="28"/>
        </w:rPr>
        <w:t xml:space="preserve">ьной сетевой организации при определении уровня потерь </w:t>
      </w:r>
      <w:r>
        <w:rPr>
          <w:rFonts w:eastAsia="Times New Roman"/>
          <w:spacing w:val="-1"/>
          <w:sz w:val="28"/>
          <w:szCs w:val="28"/>
        </w:rPr>
        <w:t xml:space="preserve">электрической энергии рекомендуем использовать уровень фактических потерь </w:t>
      </w:r>
      <w:r>
        <w:rPr>
          <w:rFonts w:eastAsia="Times New Roman"/>
          <w:sz w:val="28"/>
          <w:szCs w:val="28"/>
        </w:rPr>
        <w:t>электрической энергии за истекший период текущего года либо прогнозные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значения технологических потерь электрической энергии на</w:t>
      </w:r>
      <w:r>
        <w:rPr>
          <w:rFonts w:eastAsia="Times New Roman"/>
          <w:sz w:val="28"/>
          <w:szCs w:val="28"/>
        </w:rPr>
        <w:t xml:space="preserve"> 1-й год долгосрочного периода регулирования на соответствующем уровне напряжения, рассчитанные территориальной сетевой организацией в соответствии с Инструкцией по организации в Министерстве энергетики Российской Федераций работы по расчету </w:t>
      </w:r>
      <w:r>
        <w:rPr>
          <w:rFonts w:eastAsia="Times New Roman"/>
          <w:spacing w:val="-2"/>
          <w:sz w:val="28"/>
          <w:szCs w:val="28"/>
        </w:rPr>
        <w:t xml:space="preserve">и обоснованию </w:t>
      </w:r>
      <w:r>
        <w:rPr>
          <w:rFonts w:eastAsia="Times New Roman"/>
          <w:spacing w:val="-2"/>
          <w:sz w:val="28"/>
          <w:szCs w:val="28"/>
        </w:rPr>
        <w:t xml:space="preserve">нормативов технологических потерь электроэнергии при ее передаче </w:t>
      </w:r>
      <w:r>
        <w:rPr>
          <w:rFonts w:eastAsia="Times New Roman"/>
          <w:sz w:val="28"/>
          <w:szCs w:val="28"/>
        </w:rPr>
        <w:t>по электрическим сетям, утвержденной приказом Минэнерго России от 30.12.2008 № 326 (зарегистрирован в Минюсте России 12.02.2009 № 13314).</w:t>
      </w:r>
      <w:proofErr w:type="gramEnd"/>
      <w:r>
        <w:rPr>
          <w:rFonts w:eastAsia="Times New Roman"/>
          <w:sz w:val="28"/>
          <w:szCs w:val="28"/>
        </w:rPr>
        <w:t xml:space="preserve"> При этом направление расчетов технологических потерь </w:t>
      </w:r>
      <w:r>
        <w:rPr>
          <w:rFonts w:eastAsia="Times New Roman"/>
          <w:sz w:val="28"/>
          <w:szCs w:val="28"/>
        </w:rPr>
        <w:t xml:space="preserve">электрической энергии, а также их </w:t>
      </w:r>
      <w:r>
        <w:rPr>
          <w:rFonts w:eastAsia="Times New Roman"/>
          <w:spacing w:val="-1"/>
          <w:sz w:val="28"/>
          <w:szCs w:val="28"/>
        </w:rPr>
        <w:t xml:space="preserve">копий в указанном случае на согласование и (или) утверждение в Минэнерго России </w:t>
      </w:r>
      <w:r>
        <w:rPr>
          <w:rFonts w:eastAsia="Times New Roman"/>
          <w:sz w:val="28"/>
          <w:szCs w:val="28"/>
        </w:rPr>
        <w:t>не требуется.</w:t>
      </w:r>
    </w:p>
    <w:p w:rsidR="00000000" w:rsidRDefault="00976192">
      <w:pPr>
        <w:shd w:val="clear" w:color="auto" w:fill="FFFFFF"/>
        <w:spacing w:before="288"/>
        <w:ind w:left="816"/>
      </w:pPr>
      <w:r>
        <w:rPr>
          <w:rFonts w:eastAsia="Times New Roman"/>
          <w:spacing w:val="-1"/>
          <w:sz w:val="28"/>
          <w:szCs w:val="28"/>
        </w:rPr>
        <w:t>Приложение:   расчетная форма в формате табличного процессора.</w:t>
      </w:r>
    </w:p>
    <w:p w:rsidR="00000000" w:rsidRDefault="00976192">
      <w:pPr>
        <w:shd w:val="clear" w:color="auto" w:fill="FFFFFF"/>
        <w:spacing w:before="811"/>
        <w:ind w:left="5"/>
      </w:pPr>
      <w:r>
        <w:rPr>
          <w:rFonts w:eastAsia="Times New Roman"/>
          <w:spacing w:val="-3"/>
          <w:sz w:val="28"/>
          <w:szCs w:val="28"/>
        </w:rPr>
        <w:t>Заместитель Министра энергетики Российской Федерации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eastAsia="Times New Roman"/>
          <w:sz w:val="28"/>
          <w:szCs w:val="28"/>
        </w:rPr>
        <w:t>В.М.К</w:t>
      </w:r>
      <w:r>
        <w:rPr>
          <w:rFonts w:eastAsia="Times New Roman"/>
          <w:sz w:val="28"/>
          <w:szCs w:val="28"/>
        </w:rPr>
        <w:t>равченко</w:t>
      </w:r>
      <w:proofErr w:type="spellEnd"/>
    </w:p>
    <w:p w:rsidR="00000000" w:rsidRDefault="00976192">
      <w:pPr>
        <w:shd w:val="clear" w:color="auto" w:fill="FFFFFF"/>
        <w:tabs>
          <w:tab w:val="left" w:leader="underscore" w:pos="2011"/>
          <w:tab w:val="left" w:leader="underscore" w:pos="4781"/>
          <w:tab w:val="left" w:pos="5395"/>
          <w:tab w:val="left" w:leader="underscore" w:pos="7920"/>
        </w:tabs>
        <w:spacing w:before="830"/>
      </w:pPr>
      <w:r>
        <w:rPr>
          <w:rFonts w:eastAsia="Times New Roman"/>
          <w:spacing w:val="-3"/>
          <w:sz w:val="28"/>
          <w:szCs w:val="28"/>
        </w:rPr>
        <w:t xml:space="preserve">Заместитель Руководителя </w:t>
      </w:r>
      <w:r>
        <w:rPr>
          <w:rFonts w:eastAsia="Times New Roman"/>
          <w:spacing w:val="-1"/>
          <w:sz w:val="28"/>
          <w:szCs w:val="28"/>
        </w:rPr>
        <w:t>Федеральной службы по тарифам</w:t>
      </w: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pacing w:val="-1"/>
          <w:sz w:val="28"/>
          <w:szCs w:val="28"/>
        </w:rPr>
        <w:t xml:space="preserve">Е.В. </w:t>
      </w:r>
      <w:proofErr w:type="spellStart"/>
      <w:r>
        <w:rPr>
          <w:rFonts w:eastAsia="Times New Roman"/>
          <w:spacing w:val="-1"/>
          <w:sz w:val="28"/>
          <w:szCs w:val="28"/>
        </w:rPr>
        <w:t>Помчалова</w:t>
      </w:r>
      <w:proofErr w:type="spellEnd"/>
    </w:p>
    <w:p w:rsidR="00C706D6" w:rsidRDefault="00C706D6">
      <w:pPr>
        <w:shd w:val="clear" w:color="auto" w:fill="FFFFFF"/>
        <w:spacing w:before="24"/>
        <w:ind w:left="6230"/>
      </w:pPr>
    </w:p>
    <w:sectPr w:rsidR="00C706D6">
      <w:pgSz w:w="11909" w:h="16834"/>
      <w:pgMar w:top="1022" w:right="565" w:bottom="360" w:left="11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D6"/>
    <w:rsid w:val="00976192"/>
    <w:rsid w:val="00AC4CFF"/>
    <w:rsid w:val="00C706D6"/>
    <w:rsid w:val="00E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2015-01-17T04:08:00Z</dcterms:created>
  <dcterms:modified xsi:type="dcterms:W3CDTF">2015-01-17T04:10:00Z</dcterms:modified>
</cp:coreProperties>
</file>